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2C" w:rsidRDefault="0040112C" w:rsidP="0040112C">
      <w:pPr>
        <w:spacing w:after="0" w:line="240" w:lineRule="auto"/>
        <w:rPr>
          <w:rFonts w:ascii="Times New Roman" w:eastAsia="Times New Roman" w:hAnsi="Times New Roman" w:cs="Times New Roman"/>
          <w:sz w:val="24"/>
          <w:szCs w:val="24"/>
          <w:lang w:eastAsia="it-IT"/>
        </w:rPr>
      </w:pPr>
      <w:r w:rsidRPr="0040112C">
        <w:rPr>
          <w:rFonts w:ascii="Times New Roman" w:eastAsia="Times New Roman" w:hAnsi="Times New Roman" w:cs="Times New Roman"/>
          <w:sz w:val="24"/>
          <w:szCs w:val="24"/>
          <w:lang w:eastAsia="it-IT"/>
        </w:rPr>
        <w:br/>
      </w:r>
      <w:bookmarkStart w:id="0" w:name="_GoBack"/>
      <w:r w:rsidRPr="0040112C">
        <w:rPr>
          <w:rFonts w:ascii="Times New Roman" w:eastAsia="Times New Roman" w:hAnsi="Times New Roman" w:cs="Times New Roman"/>
          <w:color w:val="FF0000"/>
          <w:sz w:val="24"/>
          <w:szCs w:val="24"/>
          <w:lang w:eastAsia="it-IT"/>
        </w:rPr>
        <w:br/>
      </w:r>
      <w:r w:rsidRPr="0040112C">
        <w:rPr>
          <w:rFonts w:ascii="Times New Roman" w:eastAsia="Times New Roman" w:hAnsi="Times New Roman" w:cs="Times New Roman"/>
          <w:b/>
          <w:bCs/>
          <w:color w:val="FF0000"/>
          <w:sz w:val="24"/>
          <w:szCs w:val="24"/>
          <w:lang w:eastAsia="it-IT"/>
        </w:rPr>
        <w:t>VACCINI: BAGARRE IN AULA SU EMENDAMENTO SU MONOCOMPONENTE</w:t>
      </w:r>
      <w:r w:rsidRPr="0040112C">
        <w:rPr>
          <w:rFonts w:ascii="Times New Roman" w:eastAsia="Times New Roman" w:hAnsi="Times New Roman" w:cs="Times New Roman"/>
          <w:color w:val="FF0000"/>
          <w:sz w:val="24"/>
          <w:szCs w:val="24"/>
          <w:lang w:eastAsia="it-IT"/>
        </w:rPr>
        <w:t xml:space="preserve"> </w:t>
      </w:r>
      <w:bookmarkEnd w:id="0"/>
      <w:r w:rsidRPr="0040112C">
        <w:rPr>
          <w:rFonts w:ascii="Times New Roman" w:eastAsia="Times New Roman" w:hAnsi="Times New Roman" w:cs="Times New Roman"/>
          <w:sz w:val="24"/>
          <w:szCs w:val="24"/>
          <w:lang w:eastAsia="it-IT"/>
        </w:rPr>
        <w:br/>
      </w:r>
      <w:r w:rsidRPr="0040112C">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t>9Colonne,</w:t>
      </w:r>
      <w:r w:rsidRPr="0040112C">
        <w:rPr>
          <w:rFonts w:ascii="Times New Roman" w:eastAsia="Times New Roman" w:hAnsi="Times New Roman" w:cs="Times New Roman"/>
          <w:sz w:val="24"/>
          <w:szCs w:val="24"/>
          <w:lang w:eastAsia="it-IT"/>
        </w:rPr>
        <w:t xml:space="preserve"> Roma, 19 </w:t>
      </w:r>
      <w:proofErr w:type="spellStart"/>
      <w:r w:rsidRPr="0040112C">
        <w:rPr>
          <w:rFonts w:ascii="Times New Roman" w:eastAsia="Times New Roman" w:hAnsi="Times New Roman" w:cs="Times New Roman"/>
          <w:sz w:val="24"/>
          <w:szCs w:val="24"/>
          <w:lang w:eastAsia="it-IT"/>
        </w:rPr>
        <w:t>lug</w:t>
      </w:r>
      <w:proofErr w:type="spellEnd"/>
      <w:r w:rsidRPr="0040112C">
        <w:rPr>
          <w:rFonts w:ascii="Times New Roman" w:eastAsia="Times New Roman" w:hAnsi="Times New Roman" w:cs="Times New Roman"/>
          <w:sz w:val="24"/>
          <w:szCs w:val="24"/>
          <w:lang w:eastAsia="it-IT"/>
        </w:rPr>
        <w:t xml:space="preserve"> - Ripresa a singhiozzo in Senato per il </w:t>
      </w:r>
      <w:proofErr w:type="spellStart"/>
      <w:r w:rsidRPr="0040112C">
        <w:rPr>
          <w:rFonts w:ascii="Times New Roman" w:eastAsia="Times New Roman" w:hAnsi="Times New Roman" w:cs="Times New Roman"/>
          <w:sz w:val="24"/>
          <w:szCs w:val="24"/>
          <w:lang w:eastAsia="it-IT"/>
        </w:rPr>
        <w:t>ddl</w:t>
      </w:r>
      <w:proofErr w:type="spellEnd"/>
      <w:r w:rsidRPr="0040112C">
        <w:rPr>
          <w:rFonts w:ascii="Times New Roman" w:eastAsia="Times New Roman" w:hAnsi="Times New Roman" w:cs="Times New Roman"/>
          <w:sz w:val="24"/>
          <w:szCs w:val="24"/>
          <w:lang w:eastAsia="it-IT"/>
        </w:rPr>
        <w:t xml:space="preserve"> vaccini. Il presidente della Commissione bilancio del Senato </w:t>
      </w:r>
      <w:r w:rsidRPr="0040112C">
        <w:rPr>
          <w:rFonts w:ascii="Times New Roman" w:eastAsia="Times New Roman" w:hAnsi="Times New Roman" w:cs="Times New Roman"/>
          <w:b/>
          <w:bCs/>
          <w:color w:val="FF0000"/>
          <w:sz w:val="24"/>
          <w:szCs w:val="24"/>
          <w:shd w:val="clear" w:color="auto" w:fill="FFFFFF"/>
          <w:lang w:eastAsia="it-IT"/>
        </w:rPr>
        <w:t>Tonini</w:t>
      </w:r>
      <w:r w:rsidRPr="0040112C">
        <w:rPr>
          <w:rFonts w:ascii="Times New Roman" w:eastAsia="Times New Roman" w:hAnsi="Times New Roman" w:cs="Times New Roman"/>
          <w:sz w:val="24"/>
          <w:szCs w:val="24"/>
          <w:lang w:eastAsia="it-IT"/>
        </w:rPr>
        <w:t xml:space="preserve"> (Pd), ha comunicato che, in assenza della relazione tecnica del Governo, la Commissione bilancio deve rinnovare il parere contrario sull'emendamento di Paola Taverna (M5S) e altri, che prevede vaccinazioni disponibili in formulazione monocomponente. Dopo che il ministro della Salute Beatrice Lorenzin ha espresso parere contrario sull'emendamento, il presidente Pietro Grasso ha proposto di anticipare la votazione dell'emendamento </w:t>
      </w:r>
      <w:proofErr w:type="spellStart"/>
      <w:r w:rsidRPr="0040112C">
        <w:rPr>
          <w:rFonts w:ascii="Times New Roman" w:eastAsia="Times New Roman" w:hAnsi="Times New Roman" w:cs="Times New Roman"/>
          <w:sz w:val="24"/>
          <w:szCs w:val="24"/>
          <w:lang w:eastAsia="it-IT"/>
        </w:rPr>
        <w:t>Arrigoni</w:t>
      </w:r>
      <w:proofErr w:type="spellEnd"/>
      <w:r w:rsidRPr="0040112C">
        <w:rPr>
          <w:rFonts w:ascii="Times New Roman" w:eastAsia="Times New Roman" w:hAnsi="Times New Roman" w:cs="Times New Roman"/>
          <w:sz w:val="24"/>
          <w:szCs w:val="24"/>
          <w:lang w:eastAsia="it-IT"/>
        </w:rPr>
        <w:t xml:space="preserve"> (Lega) e altri, in base al quale le procedure accentrate di acquisto devono riguardare anche i vaccini in formulazione monocomponente, per evitare l'inoculazione dello stesso vaccino in forma combinata. Dopo una sospensione, chiesta dal ministro Lorenzin, la relatrice </w:t>
      </w:r>
      <w:proofErr w:type="spellStart"/>
      <w:r w:rsidRPr="0040112C">
        <w:rPr>
          <w:rFonts w:ascii="Times New Roman" w:eastAsia="Times New Roman" w:hAnsi="Times New Roman" w:cs="Times New Roman"/>
          <w:sz w:val="24"/>
          <w:szCs w:val="24"/>
          <w:lang w:eastAsia="it-IT"/>
        </w:rPr>
        <w:t>Manassero</w:t>
      </w:r>
      <w:proofErr w:type="spellEnd"/>
      <w:r w:rsidRPr="0040112C">
        <w:rPr>
          <w:rFonts w:ascii="Times New Roman" w:eastAsia="Times New Roman" w:hAnsi="Times New Roman" w:cs="Times New Roman"/>
          <w:sz w:val="24"/>
          <w:szCs w:val="24"/>
          <w:lang w:eastAsia="it-IT"/>
        </w:rPr>
        <w:t xml:space="preserve"> (PD), ha depositato un nuovo emendamento che, in relazione all'esonero dall'obbligo di vaccinazione per il soggetto immunizzato, prevede l'impiego di vaccini in cui sia assente l'antigene per la malattia immunizzata. Conseguentemente la procedura accentrata di acquisto per vaccinazioni obbligatorie riguarda anche i vaccini monocomponente. La seduta è stata infine sospesa per consentire la convocazione della commissione</w:t>
      </w:r>
      <w:r>
        <w:rPr>
          <w:rFonts w:ascii="Times New Roman" w:eastAsia="Times New Roman" w:hAnsi="Times New Roman" w:cs="Times New Roman"/>
          <w:sz w:val="24"/>
          <w:szCs w:val="24"/>
          <w:lang w:eastAsia="it-IT"/>
        </w:rPr>
        <w:t xml:space="preserve"> Bilancio, e riprenderà alle 15</w:t>
      </w:r>
    </w:p>
    <w:p w:rsidR="00CD2AD1" w:rsidRDefault="00CD2AD1"/>
    <w:sectPr w:rsidR="00CD2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27"/>
    <w:rsid w:val="0040112C"/>
    <w:rsid w:val="00540188"/>
    <w:rsid w:val="007B7927"/>
    <w:rsid w:val="00CD2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8EAA"/>
  <w15:chartTrackingRefBased/>
  <w15:docId w15:val="{95BE2236-ECCE-4C90-9453-AE0846A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194381">
      <w:bodyDiv w:val="1"/>
      <w:marLeft w:val="0"/>
      <w:marRight w:val="0"/>
      <w:marTop w:val="0"/>
      <w:marBottom w:val="0"/>
      <w:divBdr>
        <w:top w:val="none" w:sz="0" w:space="0" w:color="auto"/>
        <w:left w:val="none" w:sz="0" w:space="0" w:color="auto"/>
        <w:bottom w:val="none" w:sz="0" w:space="0" w:color="auto"/>
        <w:right w:val="none" w:sz="0" w:space="0" w:color="auto"/>
      </w:divBdr>
      <w:divsChild>
        <w:div w:id="97380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2017-07-20T12:05:00Z</dcterms:created>
  <dcterms:modified xsi:type="dcterms:W3CDTF">2017-07-20T12:05:00Z</dcterms:modified>
</cp:coreProperties>
</file>